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E5" w:rsidRPr="006A68A7" w:rsidRDefault="00EF6FE5" w:rsidP="00EF6FE5">
      <w:pPr>
        <w:spacing w:before="120" w:after="240"/>
        <w:rPr>
          <w:rFonts w:ascii="Times New Roman Gras" w:hAnsi="Times New Roman Gras"/>
          <w:b/>
          <w:caps/>
          <w:sz w:val="22"/>
          <w:szCs w:val="22"/>
        </w:rPr>
      </w:pPr>
      <w:r w:rsidRPr="006A68A7">
        <w:rPr>
          <w:rFonts w:ascii="Times New Roman Gras" w:hAnsi="Times New Roman Gras"/>
          <w:b/>
          <w:caps/>
          <w:sz w:val="22"/>
          <w:szCs w:val="22"/>
        </w:rPr>
        <w:t>F1.3 - Classification des sols</w:t>
      </w:r>
    </w:p>
    <w:p w:rsidR="00EF6FE5" w:rsidRDefault="00EF6FE5" w:rsidP="00EF6FE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Dans la Région </w:t>
      </w:r>
      <w:proofErr w:type="spellStart"/>
      <w:r>
        <w:rPr>
          <w:sz w:val="22"/>
          <w:szCs w:val="22"/>
        </w:rPr>
        <w:t>Atsinanana</w:t>
      </w:r>
      <w:proofErr w:type="spellEnd"/>
      <w:r>
        <w:rPr>
          <w:sz w:val="22"/>
          <w:szCs w:val="22"/>
        </w:rPr>
        <w:t xml:space="preserve">, il existe deux (2) sortes de terrains géologiques généralement favorables aux activités économiques : </w:t>
      </w:r>
      <w:r>
        <w:rPr>
          <w:i/>
          <w:iCs/>
          <w:sz w:val="22"/>
          <w:szCs w:val="22"/>
        </w:rPr>
        <w:t>les terrains sédimentaires et les terrains cristallins</w:t>
      </w:r>
      <w:r>
        <w:rPr>
          <w:sz w:val="22"/>
          <w:szCs w:val="22"/>
        </w:rPr>
        <w:t>.</w:t>
      </w:r>
    </w:p>
    <w:p w:rsidR="00EF6FE5" w:rsidRDefault="00EF6FE5" w:rsidP="00EF6FE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Ces terrains regroupent:</w:t>
      </w:r>
    </w:p>
    <w:p w:rsidR="00EF6FE5" w:rsidRPr="009053FF" w:rsidRDefault="00EF6FE5" w:rsidP="00EF6F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053FF">
        <w:rPr>
          <w:sz w:val="22"/>
          <w:szCs w:val="22"/>
          <w:u w:val="single"/>
        </w:rPr>
        <w:t>Les terrains sédimentaires</w:t>
      </w:r>
      <w:r w:rsidRPr="009053FF">
        <w:rPr>
          <w:sz w:val="22"/>
          <w:szCs w:val="22"/>
        </w:rPr>
        <w:t xml:space="preserve"> : Ces types de terrains se rencontrent dans la partie sud-est et Nord-est de la région et sont précisés par du volcanisme néogène à quaternaire et par un volcanisme crétacé : de type crétacé et de pliocène continental bordant la côte de </w:t>
      </w:r>
      <w:proofErr w:type="spellStart"/>
      <w:r w:rsidRPr="009053FF">
        <w:rPr>
          <w:sz w:val="22"/>
          <w:szCs w:val="22"/>
        </w:rPr>
        <w:t>Mahanoro</w:t>
      </w:r>
      <w:proofErr w:type="spellEnd"/>
      <w:r w:rsidRPr="009053FF">
        <w:rPr>
          <w:sz w:val="22"/>
          <w:szCs w:val="22"/>
        </w:rPr>
        <w:t xml:space="preserve"> jusqu'à Toamasina. Il s’agit d’alluvion, de sables, de dunes vives, de grès peu solidifiés.</w:t>
      </w:r>
    </w:p>
    <w:p w:rsidR="00EF6FE5" w:rsidRDefault="00EF6FE5" w:rsidP="00EF6F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053FF">
        <w:rPr>
          <w:sz w:val="22"/>
          <w:szCs w:val="22"/>
          <w:u w:val="single"/>
        </w:rPr>
        <w:t>Les terrains cristallins</w:t>
      </w:r>
      <w:r w:rsidRPr="009053FF">
        <w:rPr>
          <w:sz w:val="22"/>
          <w:szCs w:val="22"/>
        </w:rPr>
        <w:t xml:space="preserve"> : On peut découvrir la formation des pegmatites dans la partie de </w:t>
      </w:r>
      <w:proofErr w:type="spellStart"/>
      <w:r w:rsidRPr="009053FF">
        <w:rPr>
          <w:sz w:val="22"/>
          <w:szCs w:val="22"/>
        </w:rPr>
        <w:t>Vatomandry</w:t>
      </w:r>
      <w:proofErr w:type="spellEnd"/>
      <w:r w:rsidRPr="009053FF">
        <w:rPr>
          <w:sz w:val="22"/>
          <w:szCs w:val="22"/>
        </w:rPr>
        <w:t xml:space="preserve">, </w:t>
      </w:r>
      <w:proofErr w:type="spellStart"/>
      <w:r w:rsidRPr="009053FF">
        <w:rPr>
          <w:sz w:val="22"/>
          <w:szCs w:val="22"/>
        </w:rPr>
        <w:t>Mahanoro</w:t>
      </w:r>
      <w:proofErr w:type="spellEnd"/>
      <w:r w:rsidRPr="009053FF">
        <w:rPr>
          <w:sz w:val="22"/>
          <w:szCs w:val="22"/>
        </w:rPr>
        <w:t xml:space="preserve">, </w:t>
      </w:r>
      <w:proofErr w:type="spellStart"/>
      <w:r w:rsidRPr="009053FF">
        <w:rPr>
          <w:sz w:val="22"/>
          <w:szCs w:val="22"/>
        </w:rPr>
        <w:t>Marolambo</w:t>
      </w:r>
      <w:proofErr w:type="spellEnd"/>
      <w:r w:rsidRPr="009053FF">
        <w:rPr>
          <w:sz w:val="22"/>
          <w:szCs w:val="22"/>
        </w:rPr>
        <w:t xml:space="preserve"> et </w:t>
      </w:r>
      <w:proofErr w:type="spellStart"/>
      <w:r w:rsidRPr="009053FF">
        <w:rPr>
          <w:sz w:val="22"/>
          <w:szCs w:val="22"/>
        </w:rPr>
        <w:t>Antanambao</w:t>
      </w:r>
      <w:proofErr w:type="spellEnd"/>
      <w:r w:rsidRPr="009053FF">
        <w:rPr>
          <w:sz w:val="22"/>
          <w:szCs w:val="22"/>
        </w:rPr>
        <w:t xml:space="preserve"> </w:t>
      </w:r>
      <w:proofErr w:type="spellStart"/>
      <w:r w:rsidRPr="009053FF">
        <w:rPr>
          <w:sz w:val="22"/>
          <w:szCs w:val="22"/>
        </w:rPr>
        <w:t>Manampontsy</w:t>
      </w:r>
      <w:proofErr w:type="spellEnd"/>
      <w:r w:rsidRPr="009053FF">
        <w:rPr>
          <w:sz w:val="22"/>
          <w:szCs w:val="22"/>
        </w:rPr>
        <w:t xml:space="preserve">. Le type Infra graphite prédomine la partie de Tamatave I, Tamatave II et de </w:t>
      </w:r>
      <w:proofErr w:type="spellStart"/>
      <w:r w:rsidRPr="009053FF">
        <w:rPr>
          <w:sz w:val="22"/>
          <w:szCs w:val="22"/>
        </w:rPr>
        <w:t>Vohibinany</w:t>
      </w:r>
      <w:proofErr w:type="spellEnd"/>
      <w:r w:rsidRPr="009053FF">
        <w:rPr>
          <w:sz w:val="22"/>
          <w:szCs w:val="22"/>
        </w:rPr>
        <w:t>.</w:t>
      </w:r>
    </w:p>
    <w:p w:rsidR="00EF6FE5" w:rsidRPr="009053FF" w:rsidRDefault="00EF6FE5" w:rsidP="00EF6F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053FF">
        <w:rPr>
          <w:sz w:val="22"/>
          <w:szCs w:val="22"/>
          <w:u w:val="single"/>
        </w:rPr>
        <w:t xml:space="preserve">Les sols </w:t>
      </w:r>
      <w:proofErr w:type="spellStart"/>
      <w:r w:rsidRPr="009053FF">
        <w:rPr>
          <w:sz w:val="22"/>
          <w:szCs w:val="22"/>
          <w:u w:val="single"/>
        </w:rPr>
        <w:t>hydromorphes</w:t>
      </w:r>
      <w:proofErr w:type="spellEnd"/>
      <w:r w:rsidRPr="009053FF">
        <w:rPr>
          <w:sz w:val="22"/>
          <w:szCs w:val="22"/>
          <w:u w:val="single"/>
        </w:rPr>
        <w:t xml:space="preserve"> des bas-fonds</w:t>
      </w:r>
      <w:r w:rsidRPr="009053FF">
        <w:rPr>
          <w:sz w:val="22"/>
          <w:szCs w:val="22"/>
        </w:rPr>
        <w:t> : En arrière des cordons littoraux sont rencontrés des marais à sols tourbeux. Sur des matériaux sableux, se forment des podzols. Dénommés localement "</w:t>
      </w:r>
      <w:proofErr w:type="spellStart"/>
      <w:r w:rsidRPr="009053FF">
        <w:rPr>
          <w:sz w:val="22"/>
          <w:szCs w:val="22"/>
        </w:rPr>
        <w:t>Horaka</w:t>
      </w:r>
      <w:proofErr w:type="spellEnd"/>
      <w:r w:rsidRPr="009053FF">
        <w:rPr>
          <w:sz w:val="22"/>
          <w:szCs w:val="22"/>
        </w:rPr>
        <w:t>", ces sols sont saturés d'eau en permanence et dégagent une odeur de soufre. De couleur noirâtre, ils présentent des dépôts ferrugineux de couleur rouille à la surface de l'eau. Les matières organiques y sont mal décomposées. Ce type de sol ne convient à la riziculture que s'il est bien drainé et ne convient non plus aux cultures pérennes. La végétation caractéristique de ces sols est composée de Niaoulis (</w:t>
      </w:r>
      <w:proofErr w:type="spellStart"/>
      <w:r w:rsidRPr="009053FF">
        <w:rPr>
          <w:i/>
          <w:iCs/>
          <w:sz w:val="22"/>
          <w:szCs w:val="22"/>
        </w:rPr>
        <w:t>Melaleuca</w:t>
      </w:r>
      <w:proofErr w:type="spellEnd"/>
      <w:r w:rsidRPr="009053FF">
        <w:rPr>
          <w:i/>
          <w:iCs/>
          <w:sz w:val="22"/>
          <w:szCs w:val="22"/>
        </w:rPr>
        <w:t xml:space="preserve"> </w:t>
      </w:r>
      <w:proofErr w:type="spellStart"/>
      <w:r w:rsidRPr="009053FF">
        <w:rPr>
          <w:i/>
          <w:iCs/>
          <w:sz w:val="22"/>
          <w:szCs w:val="22"/>
        </w:rPr>
        <w:t>viridiflora</w:t>
      </w:r>
      <w:proofErr w:type="spellEnd"/>
      <w:r w:rsidRPr="009053FF">
        <w:rPr>
          <w:sz w:val="22"/>
          <w:szCs w:val="22"/>
        </w:rPr>
        <w:t xml:space="preserve">), </w:t>
      </w:r>
      <w:proofErr w:type="spellStart"/>
      <w:r w:rsidRPr="009053FF">
        <w:rPr>
          <w:sz w:val="22"/>
          <w:szCs w:val="22"/>
        </w:rPr>
        <w:t>Fandrana</w:t>
      </w:r>
      <w:proofErr w:type="spellEnd"/>
      <w:r w:rsidRPr="009053FF">
        <w:rPr>
          <w:sz w:val="22"/>
          <w:szCs w:val="22"/>
        </w:rPr>
        <w:t xml:space="preserve"> (Pandanus </w:t>
      </w:r>
      <w:proofErr w:type="spellStart"/>
      <w:r w:rsidRPr="009053FF">
        <w:rPr>
          <w:sz w:val="22"/>
          <w:szCs w:val="22"/>
        </w:rPr>
        <w:t>concretus</w:t>
      </w:r>
      <w:proofErr w:type="spellEnd"/>
      <w:r w:rsidRPr="009053FF">
        <w:rPr>
          <w:sz w:val="22"/>
          <w:szCs w:val="22"/>
        </w:rPr>
        <w:t xml:space="preserve">/Pandanacées), </w:t>
      </w:r>
      <w:proofErr w:type="spellStart"/>
      <w:r w:rsidRPr="009053FF">
        <w:rPr>
          <w:sz w:val="22"/>
          <w:szCs w:val="22"/>
        </w:rPr>
        <w:t>Viha</w:t>
      </w:r>
      <w:proofErr w:type="spellEnd"/>
      <w:r w:rsidRPr="009053FF">
        <w:rPr>
          <w:sz w:val="22"/>
          <w:szCs w:val="22"/>
        </w:rPr>
        <w:t xml:space="preserve"> (</w:t>
      </w:r>
      <w:proofErr w:type="spellStart"/>
      <w:r w:rsidRPr="009053FF">
        <w:rPr>
          <w:i/>
          <w:iCs/>
          <w:sz w:val="22"/>
          <w:szCs w:val="22"/>
        </w:rPr>
        <w:t>Typhonodorum</w:t>
      </w:r>
      <w:proofErr w:type="spellEnd"/>
      <w:r w:rsidRPr="009053FF">
        <w:rPr>
          <w:i/>
          <w:iCs/>
          <w:sz w:val="22"/>
          <w:szCs w:val="22"/>
        </w:rPr>
        <w:t xml:space="preserve"> </w:t>
      </w:r>
      <w:proofErr w:type="spellStart"/>
      <w:r w:rsidRPr="009053FF">
        <w:rPr>
          <w:i/>
          <w:iCs/>
          <w:sz w:val="22"/>
          <w:szCs w:val="22"/>
        </w:rPr>
        <w:t>lindleanun</w:t>
      </w:r>
      <w:proofErr w:type="spellEnd"/>
      <w:r w:rsidRPr="009053FF">
        <w:rPr>
          <w:sz w:val="22"/>
          <w:szCs w:val="22"/>
        </w:rPr>
        <w:t>/</w:t>
      </w:r>
      <w:proofErr w:type="spellStart"/>
      <w:r w:rsidRPr="009053FF">
        <w:rPr>
          <w:sz w:val="22"/>
          <w:szCs w:val="22"/>
        </w:rPr>
        <w:t>Araceae</w:t>
      </w:r>
      <w:proofErr w:type="spellEnd"/>
      <w:r w:rsidRPr="009053FF">
        <w:rPr>
          <w:sz w:val="22"/>
          <w:szCs w:val="22"/>
        </w:rPr>
        <w:t xml:space="preserve">), </w:t>
      </w:r>
      <w:proofErr w:type="spellStart"/>
      <w:r w:rsidRPr="009053FF">
        <w:rPr>
          <w:sz w:val="22"/>
          <w:szCs w:val="22"/>
        </w:rPr>
        <w:t>Herana</w:t>
      </w:r>
      <w:proofErr w:type="spellEnd"/>
      <w:r w:rsidRPr="009053FF">
        <w:rPr>
          <w:sz w:val="22"/>
          <w:szCs w:val="22"/>
        </w:rPr>
        <w:t xml:space="preserve"> (</w:t>
      </w:r>
      <w:proofErr w:type="spellStart"/>
      <w:r w:rsidRPr="009053FF">
        <w:rPr>
          <w:i/>
          <w:iCs/>
          <w:sz w:val="22"/>
          <w:szCs w:val="22"/>
        </w:rPr>
        <w:t>Cyperus</w:t>
      </w:r>
      <w:proofErr w:type="spellEnd"/>
      <w:r w:rsidRPr="009053FF">
        <w:rPr>
          <w:i/>
          <w:iCs/>
          <w:sz w:val="22"/>
          <w:szCs w:val="22"/>
        </w:rPr>
        <w:t xml:space="preserve"> </w:t>
      </w:r>
      <w:proofErr w:type="spellStart"/>
      <w:r w:rsidRPr="009053FF">
        <w:rPr>
          <w:i/>
          <w:iCs/>
          <w:sz w:val="22"/>
          <w:szCs w:val="22"/>
        </w:rPr>
        <w:t>latifolius</w:t>
      </w:r>
      <w:proofErr w:type="spellEnd"/>
      <w:r w:rsidRPr="009053FF">
        <w:rPr>
          <w:sz w:val="22"/>
          <w:szCs w:val="22"/>
        </w:rPr>
        <w:t>/Cypéracées).</w:t>
      </w:r>
    </w:p>
    <w:p w:rsidR="00EF6FE5" w:rsidRPr="009053FF" w:rsidRDefault="00EF6FE5" w:rsidP="00EF6F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053FF">
        <w:rPr>
          <w:sz w:val="22"/>
          <w:szCs w:val="22"/>
          <w:u w:val="single"/>
        </w:rPr>
        <w:t>Les sols alluvionnaires d'apport fluvial</w:t>
      </w:r>
      <w:r w:rsidRPr="009053FF">
        <w:rPr>
          <w:sz w:val="22"/>
          <w:szCs w:val="22"/>
        </w:rPr>
        <w:t> : Ce sont des sols plus riches sur alluvions argileuses ou sableuses, localisés surtout dans les vallées. Le long de la côte, se rencontrent des sols alluviaux évolués. Appelés "</w:t>
      </w:r>
      <w:proofErr w:type="spellStart"/>
      <w:r w:rsidRPr="009053FF">
        <w:rPr>
          <w:sz w:val="22"/>
          <w:szCs w:val="22"/>
        </w:rPr>
        <w:t>Baiboho</w:t>
      </w:r>
      <w:proofErr w:type="spellEnd"/>
      <w:r w:rsidRPr="009053FF">
        <w:rPr>
          <w:sz w:val="22"/>
          <w:szCs w:val="22"/>
        </w:rPr>
        <w:t>", ces sols se rencontrent surtout en bordure des cours d'eau. Ils sont favorables aux cultures pérennes pour autant qu'ils ne soient pas inondables et peuvent être aménagés en rizières.</w:t>
      </w:r>
    </w:p>
    <w:p w:rsidR="00EF6FE5" w:rsidRDefault="00EF6FE5" w:rsidP="00EF6FE5">
      <w:pPr>
        <w:autoSpaceDE w:val="0"/>
        <w:autoSpaceDN w:val="0"/>
        <w:adjustRightInd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Source : PRD </w:t>
      </w:r>
      <w:proofErr w:type="spellStart"/>
      <w:r>
        <w:rPr>
          <w:i/>
          <w:iCs/>
          <w:sz w:val="18"/>
          <w:szCs w:val="18"/>
        </w:rPr>
        <w:t>Atsinanana</w:t>
      </w:r>
      <w:proofErr w:type="spellEnd"/>
      <w:r>
        <w:rPr>
          <w:i/>
          <w:iCs/>
          <w:sz w:val="18"/>
          <w:szCs w:val="18"/>
        </w:rPr>
        <w:t xml:space="preserve"> – 2005 ; Profil environnemental – Région </w:t>
      </w:r>
      <w:proofErr w:type="spellStart"/>
      <w:r>
        <w:rPr>
          <w:i/>
          <w:iCs/>
          <w:sz w:val="18"/>
          <w:szCs w:val="18"/>
        </w:rPr>
        <w:t>Atsinanana</w:t>
      </w:r>
      <w:proofErr w:type="spellEnd"/>
      <w:r>
        <w:rPr>
          <w:i/>
          <w:iCs/>
          <w:sz w:val="18"/>
          <w:szCs w:val="18"/>
        </w:rPr>
        <w:t xml:space="preserve"> (ONE) – 2006</w:t>
      </w:r>
    </w:p>
    <w:p w:rsidR="00EF6FE5" w:rsidRDefault="00EF6FE5" w:rsidP="00EF6FE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F6FE5" w:rsidRDefault="00EF6FE5" w:rsidP="00EF6FE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22"/>
          <w:szCs w:val="22"/>
        </w:rPr>
        <w:t xml:space="preserve">Tableau F1.3 : </w:t>
      </w:r>
      <w:r>
        <w:rPr>
          <w:b/>
          <w:bCs/>
        </w:rPr>
        <w:t>Superficie par type de sol</w:t>
      </w:r>
    </w:p>
    <w:tbl>
      <w:tblPr>
        <w:tblStyle w:val="Grilledutableau"/>
        <w:tblW w:w="9940" w:type="dxa"/>
        <w:tblLook w:val="04A0" w:firstRow="1" w:lastRow="0" w:firstColumn="1" w:lastColumn="0" w:noHBand="0" w:noVBand="1"/>
      </w:tblPr>
      <w:tblGrid>
        <w:gridCol w:w="5193"/>
        <w:gridCol w:w="4747"/>
      </w:tblGrid>
      <w:tr w:rsidR="00EF6FE5" w:rsidTr="00EF2E29">
        <w:tc>
          <w:tcPr>
            <w:tcW w:w="5193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4747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Superficie (ha)</w:t>
            </w:r>
          </w:p>
        </w:tc>
      </w:tr>
      <w:tr w:rsidR="00EF6FE5" w:rsidTr="00EF2E29">
        <w:tc>
          <w:tcPr>
            <w:tcW w:w="5193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Association sols ferralitiques jaune/</w:t>
            </w:r>
            <w:proofErr w:type="spellStart"/>
            <w:r>
              <w:rPr>
                <w:sz w:val="18"/>
                <w:szCs w:val="18"/>
              </w:rPr>
              <w:t>rouge+rouge</w:t>
            </w:r>
            <w:proofErr w:type="spellEnd"/>
          </w:p>
        </w:tc>
        <w:tc>
          <w:tcPr>
            <w:tcW w:w="4747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1 102 465</w:t>
            </w:r>
          </w:p>
        </w:tc>
      </w:tr>
      <w:tr w:rsidR="00EF6FE5" w:rsidTr="00EF2E29">
        <w:tc>
          <w:tcPr>
            <w:tcW w:w="5193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Association sols ferralitiques rouge + jaune/rouge + sols peu </w:t>
            </w:r>
            <w:proofErr w:type="spellStart"/>
            <w:r>
              <w:rPr>
                <w:sz w:val="18"/>
                <w:szCs w:val="18"/>
              </w:rPr>
              <w:t>evolué</w:t>
            </w:r>
            <w:proofErr w:type="spellEnd"/>
          </w:p>
        </w:tc>
        <w:tc>
          <w:tcPr>
            <w:tcW w:w="4747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77 682</w:t>
            </w:r>
          </w:p>
        </w:tc>
      </w:tr>
      <w:tr w:rsidR="00EF6FE5" w:rsidTr="00EF2E29">
        <w:tc>
          <w:tcPr>
            <w:tcW w:w="5193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Association sols ferralitiques </w:t>
            </w:r>
            <w:proofErr w:type="spellStart"/>
            <w:r>
              <w:rPr>
                <w:sz w:val="18"/>
                <w:szCs w:val="18"/>
              </w:rPr>
              <w:t>rouge+jaune</w:t>
            </w:r>
            <w:proofErr w:type="spellEnd"/>
            <w:r>
              <w:rPr>
                <w:sz w:val="18"/>
                <w:szCs w:val="18"/>
              </w:rPr>
              <w:t>/rouge</w:t>
            </w:r>
          </w:p>
        </w:tc>
        <w:tc>
          <w:tcPr>
            <w:tcW w:w="4747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669</w:t>
            </w:r>
          </w:p>
        </w:tc>
      </w:tr>
      <w:tr w:rsidR="00EF6FE5" w:rsidTr="00EF2E29">
        <w:tc>
          <w:tcPr>
            <w:tcW w:w="5193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Sols ferralitiques jaune/rouge</w:t>
            </w:r>
          </w:p>
        </w:tc>
        <w:tc>
          <w:tcPr>
            <w:tcW w:w="4747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661 739</w:t>
            </w:r>
          </w:p>
        </w:tc>
      </w:tr>
      <w:tr w:rsidR="00EF6FE5" w:rsidTr="00EF2E29">
        <w:tc>
          <w:tcPr>
            <w:tcW w:w="5193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Sols ferralitiques jaune/rouge - Roches volcaniques</w:t>
            </w:r>
          </w:p>
        </w:tc>
        <w:tc>
          <w:tcPr>
            <w:tcW w:w="4747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204 650</w:t>
            </w:r>
          </w:p>
        </w:tc>
      </w:tr>
      <w:tr w:rsidR="00EF6FE5" w:rsidTr="00EF2E29">
        <w:tc>
          <w:tcPr>
            <w:tcW w:w="5193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Sols </w:t>
            </w:r>
            <w:proofErr w:type="spellStart"/>
            <w:r>
              <w:rPr>
                <w:sz w:val="18"/>
                <w:szCs w:val="18"/>
              </w:rPr>
              <w:t>hydromorphes</w:t>
            </w:r>
            <w:proofErr w:type="spellEnd"/>
            <w:r>
              <w:rPr>
                <w:sz w:val="18"/>
                <w:szCs w:val="18"/>
              </w:rPr>
              <w:t xml:space="preserve"> (organiques et minéraux)</w:t>
            </w:r>
          </w:p>
        </w:tc>
        <w:tc>
          <w:tcPr>
            <w:tcW w:w="4747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19 057</w:t>
            </w:r>
          </w:p>
        </w:tc>
      </w:tr>
      <w:tr w:rsidR="00EF6FE5" w:rsidTr="00EF2E29">
        <w:tc>
          <w:tcPr>
            <w:tcW w:w="5193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Sols peu </w:t>
            </w:r>
            <w:proofErr w:type="spellStart"/>
            <w:r>
              <w:rPr>
                <w:sz w:val="18"/>
                <w:szCs w:val="18"/>
              </w:rPr>
              <w:t>evolué</w:t>
            </w:r>
            <w:proofErr w:type="spellEnd"/>
            <w:r>
              <w:rPr>
                <w:sz w:val="18"/>
                <w:szCs w:val="18"/>
              </w:rPr>
              <w:t xml:space="preserve"> dunaires ou sableux</w:t>
            </w:r>
          </w:p>
        </w:tc>
        <w:tc>
          <w:tcPr>
            <w:tcW w:w="4747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77 325</w:t>
            </w:r>
          </w:p>
        </w:tc>
      </w:tr>
      <w:tr w:rsidR="00EF6FE5" w:rsidTr="00EF2E29">
        <w:tc>
          <w:tcPr>
            <w:tcW w:w="5193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Sols peu </w:t>
            </w:r>
            <w:proofErr w:type="spellStart"/>
            <w:r>
              <w:rPr>
                <w:sz w:val="18"/>
                <w:szCs w:val="18"/>
              </w:rPr>
              <w:t>evolué</w:t>
            </w:r>
            <w:proofErr w:type="spellEnd"/>
            <w:r>
              <w:rPr>
                <w:sz w:val="18"/>
                <w:szCs w:val="18"/>
              </w:rPr>
              <w:t xml:space="preserve"> et </w:t>
            </w:r>
            <w:proofErr w:type="spellStart"/>
            <w:r>
              <w:rPr>
                <w:sz w:val="18"/>
                <w:szCs w:val="18"/>
              </w:rPr>
              <w:t>rankers</w:t>
            </w:r>
            <w:proofErr w:type="spellEnd"/>
          </w:p>
        </w:tc>
        <w:tc>
          <w:tcPr>
            <w:tcW w:w="4747" w:type="dxa"/>
          </w:tcPr>
          <w:p w:rsidR="00EF6FE5" w:rsidRDefault="00EF6FE5" w:rsidP="00EF2E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139 214</w:t>
            </w:r>
          </w:p>
        </w:tc>
      </w:tr>
    </w:tbl>
    <w:p w:rsidR="00EF6FE5" w:rsidRDefault="00EF6FE5" w:rsidP="00EF6FE5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Source : ONE (Résultat de traitement cartographique)</w:t>
      </w:r>
    </w:p>
    <w:p w:rsidR="00B762D3" w:rsidRPr="00EF6FE5" w:rsidRDefault="00EF6FE5" w:rsidP="00EF6FE5">
      <w:bookmarkStart w:id="0" w:name="_GoBack"/>
      <w:bookmarkEnd w:id="0"/>
    </w:p>
    <w:sectPr w:rsidR="00B762D3" w:rsidRPr="00EF6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Gras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AE3"/>
    <w:multiLevelType w:val="hybridMultilevel"/>
    <w:tmpl w:val="98069CE4"/>
    <w:lvl w:ilvl="0" w:tplc="0E44BA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E5"/>
    <w:rsid w:val="004C5581"/>
    <w:rsid w:val="0053459F"/>
    <w:rsid w:val="006C2662"/>
    <w:rsid w:val="00705168"/>
    <w:rsid w:val="00B67D7D"/>
    <w:rsid w:val="00E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rsid w:val="00EF6FE5"/>
    <w:pPr>
      <w:spacing w:before="360" w:after="120"/>
      <w:ind w:left="1735" w:hanging="1015"/>
      <w:outlineLvl w:val="3"/>
    </w:pPr>
    <w:rPr>
      <w:rFonts w:ascii="Times New Roman Gras" w:hAnsi="Times New Roman Gras"/>
      <w:b/>
      <w:bCs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EF6FE5"/>
    <w:rPr>
      <w:rFonts w:ascii="Times New Roman Gras" w:eastAsia="Times New Roman" w:hAnsi="Times New Roman Gras" w:cs="Times New Roman"/>
      <w:b/>
      <w:bCs/>
      <w:szCs w:val="24"/>
    </w:rPr>
  </w:style>
  <w:style w:type="table" w:styleId="Grilledutableau">
    <w:name w:val="Table Grid"/>
    <w:basedOn w:val="TableauNormal"/>
    <w:rsid w:val="00EF6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F6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rsid w:val="00EF6FE5"/>
    <w:pPr>
      <w:spacing w:before="360" w:after="120"/>
      <w:ind w:left="1735" w:hanging="1015"/>
      <w:outlineLvl w:val="3"/>
    </w:pPr>
    <w:rPr>
      <w:rFonts w:ascii="Times New Roman Gras" w:hAnsi="Times New Roman Gras"/>
      <w:b/>
      <w:bCs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EF6FE5"/>
    <w:rPr>
      <w:rFonts w:ascii="Times New Roman Gras" w:eastAsia="Times New Roman" w:hAnsi="Times New Roman Gras" w:cs="Times New Roman"/>
      <w:b/>
      <w:bCs/>
      <w:szCs w:val="24"/>
    </w:rPr>
  </w:style>
  <w:style w:type="table" w:styleId="Grilledutableau">
    <w:name w:val="Table Grid"/>
    <w:basedOn w:val="TableauNormal"/>
    <w:rsid w:val="00EF6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F6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2015-03-18T02:21:00Z</dcterms:created>
  <dcterms:modified xsi:type="dcterms:W3CDTF">2015-03-18T02:27:00Z</dcterms:modified>
</cp:coreProperties>
</file>